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ascii="Arial" w:hAnsi="Arial" w:cs="Arial"/>
          <w:b/>
          <w:bCs/>
          <w:kern w:val="0"/>
          <w:sz w:val="28"/>
          <w:szCs w:val="28"/>
          <w:lang w:val="en-US"/>
        </w:rPr>
      </w:pPr>
      <w:r>
        <w:rPr>
          <w:rFonts w:ascii="Arial" w:hAnsi="Arial" w:cs="Arial"/>
          <w:b/>
          <w:bCs/>
          <w:kern w:val="0"/>
          <w:sz w:val="28"/>
          <w:szCs w:val="28"/>
          <w:lang w:val="en-GB"/>
        </w:rPr>
        <w:t>3GPP TSG-RAN WG2 Meeting #</w:t>
      </w:r>
      <w:r>
        <w:rPr>
          <w:rFonts w:hint="eastAsia" w:ascii="Arial" w:hAnsi="Arial" w:cs="Arial"/>
          <w:b/>
          <w:bCs/>
          <w:kern w:val="0"/>
          <w:sz w:val="28"/>
          <w:szCs w:val="28"/>
          <w:lang w:val="en-US" w:eastAsia="zh-CN"/>
        </w:rPr>
        <w:t>AH1807</w:t>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hint="eastAsia" w:ascii="Arial" w:hAnsi="Arial" w:cs="Arial"/>
          <w:b/>
          <w:bCs/>
          <w:kern w:val="0"/>
          <w:sz w:val="28"/>
          <w:szCs w:val="28"/>
        </w:rPr>
        <w:t xml:space="preserve">                  </w:t>
      </w:r>
      <w:r>
        <w:rPr>
          <w:rFonts w:hint="eastAsia" w:ascii="Arial" w:hAnsi="Arial" w:cs="Arial"/>
          <w:b/>
          <w:bCs/>
          <w:kern w:val="0"/>
          <w:sz w:val="28"/>
          <w:szCs w:val="28"/>
          <w:lang w:val="en-US" w:eastAsia="zh-CN"/>
        </w:rPr>
        <w:t xml:space="preserve"> </w:t>
      </w:r>
      <w:r>
        <w:rPr>
          <w:rFonts w:hint="eastAsia" w:ascii="Arial" w:hAnsi="Arial" w:cs="Arial"/>
          <w:b/>
          <w:bCs/>
          <w:kern w:val="0"/>
          <w:sz w:val="28"/>
          <w:szCs w:val="28"/>
          <w:lang w:val="en-GB"/>
        </w:rPr>
        <w:t>R2-1</w:t>
      </w:r>
      <w:r>
        <w:rPr>
          <w:rFonts w:hint="eastAsia" w:ascii="Arial" w:hAnsi="Arial" w:cs="Arial"/>
          <w:b/>
          <w:bCs/>
          <w:kern w:val="0"/>
          <w:sz w:val="28"/>
          <w:szCs w:val="28"/>
        </w:rPr>
        <w:t>80</w:t>
      </w:r>
      <w:r>
        <w:rPr>
          <w:rFonts w:hint="eastAsia" w:ascii="Arial" w:hAnsi="Arial" w:cs="Arial"/>
          <w:b/>
          <w:bCs/>
          <w:kern w:val="0"/>
          <w:sz w:val="28"/>
          <w:szCs w:val="28"/>
          <w:lang w:val="en-US" w:eastAsia="zh-CN"/>
        </w:rPr>
        <w:t>9637</w:t>
      </w:r>
    </w:p>
    <w:p>
      <w:pPr>
        <w:overflowPunct w:val="0"/>
        <w:autoSpaceDE w:val="0"/>
        <w:autoSpaceDN w:val="0"/>
        <w:adjustRightInd w:val="0"/>
        <w:snapToGrid w:val="0"/>
        <w:spacing w:before="156"/>
        <w:jc w:val="left"/>
        <w:textAlignment w:val="baseline"/>
        <w:rPr>
          <w:rFonts w:hint="eastAsia" w:ascii="Arial" w:hAnsi="Arial" w:cs="Arial"/>
          <w:b/>
          <w:bCs/>
          <w:kern w:val="0"/>
          <w:sz w:val="28"/>
          <w:szCs w:val="28"/>
          <w:lang w:val="en-GB"/>
        </w:rPr>
      </w:pPr>
      <w:r>
        <w:rPr>
          <w:rFonts w:hint="eastAsia" w:ascii="Arial" w:hAnsi="Arial" w:cs="Arial"/>
          <w:b/>
          <w:bCs/>
          <w:kern w:val="0"/>
          <w:sz w:val="24"/>
          <w:szCs w:val="24"/>
        </w:rPr>
        <w:t>Montreal, Canada, 2nd - 6th July 2018</w:t>
      </w:r>
      <w:r>
        <w:rPr>
          <w:rFonts w:hint="eastAsia" w:ascii="Arial" w:hAnsi="Arial" w:cs="Arial"/>
          <w:b/>
          <w:bCs/>
          <w:kern w:val="0"/>
          <w:sz w:val="28"/>
          <w:szCs w:val="28"/>
          <w:lang w:val="en-GB"/>
        </w:rPr>
        <w:t xml:space="preserve"> </w:t>
      </w:r>
      <w:r>
        <w:rPr>
          <w:rFonts w:hint="eastAsia" w:ascii="Arial" w:hAnsi="Arial" w:cs="Arial"/>
          <w:b/>
          <w:bCs/>
          <w:kern w:val="0"/>
          <w:sz w:val="28"/>
          <w:szCs w:val="28"/>
          <w:lang w:val="en-US" w:eastAsia="zh-CN"/>
        </w:rPr>
        <w:t xml:space="preserve">               </w:t>
      </w:r>
      <w:r>
        <w:rPr>
          <w:rFonts w:hint="eastAsia" w:ascii="Arial" w:hAnsi="Arial" w:cs="Arial"/>
          <w:b/>
          <w:bCs/>
          <w:kern w:val="0"/>
          <w:sz w:val="22"/>
          <w:szCs w:val="22"/>
          <w:lang w:val="en-US" w:eastAsia="zh-CN"/>
        </w:rPr>
        <w:t xml:space="preserve">     </w:t>
      </w:r>
      <w:r>
        <w:rPr>
          <w:rFonts w:hint="eastAsia" w:ascii="Arial" w:hAnsi="Arial" w:cs="Arial"/>
          <w:b/>
          <w:bCs/>
          <w:color w:val="58595B" w:themeColor="background2"/>
          <w:kern w:val="0"/>
          <w:sz w:val="22"/>
          <w:szCs w:val="22"/>
          <w:lang w:val="en-US" w:eastAsia="zh-CN"/>
          <w14:textFill>
            <w14:solidFill>
              <w14:schemeClr w14:val="bg2"/>
            </w14:solidFill>
          </w14:textFill>
        </w:rPr>
        <w:t>(revision of R2-1807736)</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ZTE Corporation</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Measurement and gap configuration framework in NE-DC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10.2.6</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Introduction</w:t>
      </w:r>
    </w:p>
    <w:p>
      <w:pPr>
        <w:spacing w:before="156"/>
        <w:rPr>
          <w:rFonts w:hint="eastAsia"/>
          <w:lang w:val="en-US" w:eastAsia="zh-CN"/>
        </w:rPr>
      </w:pPr>
      <w:r>
        <w:rPr>
          <w:rFonts w:hint="eastAsia"/>
          <w:lang w:val="en-US" w:eastAsia="zh-CN"/>
        </w:rPr>
        <w:t xml:space="preserve">For EN-DC, RAN2 made a lot of progress on measurement configuration &amp;coordination as well as gap configuration &amp;coordination, we summarized as below, in this contribution, we provide more views on NE-DC case.  </w:t>
      </w:r>
    </w:p>
    <w:p>
      <w:pPr>
        <w:numPr>
          <w:ilvl w:val="0"/>
          <w:numId w:val="4"/>
        </w:numPr>
        <w:spacing w:before="156"/>
        <w:ind w:left="420" w:leftChars="0" w:hanging="420" w:firstLineChars="0"/>
        <w:rPr>
          <w:rFonts w:hint="eastAsia"/>
          <w:lang w:val="en-US" w:eastAsia="zh-CN"/>
        </w:rPr>
      </w:pPr>
      <w:r>
        <w:rPr>
          <w:rFonts w:hint="eastAsia"/>
          <w:lang w:val="en-US" w:eastAsia="zh-CN"/>
        </w:rPr>
        <w:t>Measurement configuration and reporting:</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MN(LTE) supports B1 and B2 event measurement on NR frequencies;</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MN(LTE) only support SSB based NR measurement, doesn</w:t>
      </w:r>
      <w:r>
        <w:rPr>
          <w:rFonts w:hint="default"/>
          <w:lang w:val="en-US" w:eastAsia="zh-CN"/>
        </w:rPr>
        <w:t>’</w:t>
      </w:r>
      <w:r>
        <w:rPr>
          <w:rFonts w:hint="eastAsia"/>
          <w:lang w:val="en-US" w:eastAsia="zh-CN"/>
        </w:rPr>
        <w:t>t support CSI-RS based NR measurement;</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SN(NR) can only configure intra-RAT measurement, doesn</w:t>
      </w:r>
      <w:r>
        <w:rPr>
          <w:rFonts w:hint="default"/>
          <w:lang w:val="en-US" w:eastAsia="zh-CN"/>
        </w:rPr>
        <w:t>’</w:t>
      </w:r>
      <w:r>
        <w:rPr>
          <w:rFonts w:hint="eastAsia"/>
          <w:lang w:val="en-US" w:eastAsia="zh-CN"/>
        </w:rPr>
        <w:t xml:space="preserve">t support inter-RAT measurement; </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The measure results of NR serving cell and best neighbour cells can be included in MN(LTE) A3/A4/A5 events and B1/B2 events reporting.</w:t>
      </w:r>
    </w:p>
    <w:p>
      <w:pPr>
        <w:numPr>
          <w:ilvl w:val="0"/>
          <w:numId w:val="4"/>
        </w:numPr>
        <w:spacing w:before="156"/>
        <w:ind w:left="420" w:leftChars="0" w:hanging="420" w:firstLineChars="0"/>
        <w:rPr>
          <w:rFonts w:hint="eastAsia"/>
          <w:lang w:val="en-US" w:eastAsia="zh-CN"/>
        </w:rPr>
      </w:pPr>
      <w:r>
        <w:rPr>
          <w:rFonts w:hint="eastAsia"/>
          <w:lang w:val="en-US" w:eastAsia="zh-CN"/>
        </w:rPr>
        <w:t>Measurement coordination:</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MN(LTE) indicates the number of frequency layers that can be used in the SN;</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 xml:space="preserve">Re-negotiation (SN signaling to MN for the purpose to ask for more number of frequency layer) is not supported (at least in Rel-15).  </w:t>
      </w:r>
    </w:p>
    <w:p>
      <w:pPr>
        <w:numPr>
          <w:ilvl w:val="0"/>
          <w:numId w:val="4"/>
        </w:numPr>
        <w:spacing w:before="156"/>
        <w:ind w:left="420" w:leftChars="0" w:hanging="420" w:firstLineChars="0"/>
        <w:rPr>
          <w:rFonts w:hint="eastAsia"/>
          <w:lang w:val="en-US" w:eastAsia="zh-CN"/>
        </w:rPr>
      </w:pPr>
      <w:r>
        <w:rPr>
          <w:rFonts w:hint="eastAsia"/>
          <w:lang w:val="en-US" w:eastAsia="zh-CN"/>
        </w:rPr>
        <w:t>Gap configuration:</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Per-UE gap or independent LTE/FR1 gap is configured by MN, and UE performs gap calculation based on the SFN and subframe of PCell;</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Independent FR2 gap is configured by SN, and UE performs gap calculation based on the SFN and subframe of PSCell;</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 xml:space="preserve">UE can report the gap capability to network. For independent gap capable UE, the network can configure either per-UE gap or per-FR gap, and MN indicates the used gap type in Uu interface. </w:t>
      </w:r>
    </w:p>
    <w:p>
      <w:pPr>
        <w:numPr>
          <w:ilvl w:val="0"/>
          <w:numId w:val="4"/>
        </w:numPr>
        <w:spacing w:before="156"/>
        <w:ind w:left="420" w:leftChars="0" w:hanging="420" w:firstLineChars="0"/>
        <w:rPr>
          <w:rFonts w:hint="eastAsia"/>
          <w:lang w:val="en-US" w:eastAsia="zh-CN"/>
        </w:rPr>
      </w:pPr>
      <w:r>
        <w:rPr>
          <w:rFonts w:hint="eastAsia"/>
          <w:lang w:val="en-US" w:eastAsia="zh-CN"/>
        </w:rPr>
        <w:t>Gap coordination:</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For per-UE gap or independent LTE/FR1 gap, MN transmit the gap pattern to SN via CG-ConfigInfo;</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For per-UE gap, if SN hasn</w:t>
      </w:r>
      <w:r>
        <w:rPr>
          <w:rFonts w:hint="default"/>
          <w:lang w:val="en-US" w:eastAsia="zh-CN"/>
        </w:rPr>
        <w:t>’</w:t>
      </w:r>
      <w:r>
        <w:rPr>
          <w:rFonts w:hint="eastAsia"/>
          <w:lang w:val="en-US" w:eastAsia="zh-CN"/>
        </w:rPr>
        <w:t xml:space="preserve">t received the gap pattern from MN, and SN wants to configure gap assisted FR1/FR2 measurements, SN can send the FR1/FR2 frequencies to MN via CG-Config; </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For independent LTE/FR1 gap, if SN hasn</w:t>
      </w:r>
      <w:r>
        <w:rPr>
          <w:rFonts w:hint="default"/>
          <w:lang w:val="en-US" w:eastAsia="zh-CN"/>
        </w:rPr>
        <w:t>’</w:t>
      </w:r>
      <w:r>
        <w:rPr>
          <w:rFonts w:hint="eastAsia"/>
          <w:lang w:val="en-US" w:eastAsia="zh-CN"/>
        </w:rPr>
        <w:t>t received the gap pattern from MN, and SN wants to configure gap assisted FR1 measurements, SN can send the FR1 frequencies to MN via CG-Config;</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60" w:lineRule="auto"/>
        <w:ind w:left="839" w:leftChars="0" w:right="0" w:rightChars="0" w:hanging="420" w:firstLineChars="0"/>
        <w:jc w:val="both"/>
        <w:textAlignment w:val="auto"/>
        <w:outlineLvl w:val="9"/>
        <w:rPr>
          <w:rFonts w:hint="eastAsia"/>
          <w:lang w:val="en-US" w:eastAsia="zh-CN"/>
        </w:rPr>
      </w:pPr>
      <w:r>
        <w:rPr>
          <w:rFonts w:hint="eastAsia"/>
          <w:lang w:val="en-US" w:eastAsia="zh-CN"/>
        </w:rPr>
        <w:t xml:space="preserve">For independent FR2 gap, if MN wants to configure gap assisted FR2 measurements, MN can send the FR1 frequencies to SN via CG-ConfigInfo.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Consideration on measurement framework</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eastAsiaTheme="minorEastAsia"/>
          <w:lang w:val="en-US" w:eastAsia="zh-CN"/>
        </w:rPr>
      </w:pPr>
      <w:r>
        <w:rPr>
          <w:rFonts w:hint="eastAsia"/>
          <w:lang w:val="en-US" w:eastAsia="zh-CN"/>
        </w:rPr>
        <w:t>The architecture of NE-DC is illustrated in figure1:</w:t>
      </w:r>
    </w:p>
    <w:p>
      <w:pPr>
        <w:jc w:val="center"/>
      </w:pPr>
      <w:r>
        <w:object>
          <v:shape id="_x0000_i1025" o:spt="75" type="#_x0000_t75" style="height:148.5pt;width:19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jc w:val="center"/>
        <w:rPr>
          <w:rFonts w:hint="eastAsia" w:eastAsiaTheme="minorEastAsia"/>
          <w:lang w:val="en-US" w:eastAsia="zh-CN"/>
        </w:rPr>
      </w:pPr>
      <w:r>
        <w:rPr>
          <w:rFonts w:hint="eastAsia"/>
          <w:lang w:val="en-US" w:eastAsia="zh-CN"/>
        </w:rPr>
        <w:t>Figure1 Architecture of NE-DC</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For study on the measurement framework in NE-DC, following attributions and principles can be taken into consideration:</w:t>
      </w:r>
    </w:p>
    <w:p>
      <w:pPr>
        <w:keepNext w:val="0"/>
        <w:keepLines w:val="0"/>
        <w:pageBreakBefore w:val="0"/>
        <w:widowControl w:val="0"/>
        <w:numPr>
          <w:ilvl w:val="0"/>
          <w:numId w:val="5"/>
        </w:numPr>
        <w:kinsoku/>
        <w:wordWrap/>
        <w:overflowPunct/>
        <w:topLinePunct w:val="0"/>
        <w:autoSpaceDE/>
        <w:autoSpaceDN/>
        <w:bidi w:val="0"/>
        <w:adjustRightInd/>
        <w:snapToGrid w:val="0"/>
        <w:spacing w:before="157" w:beforeLines="50" w:after="160" w:line="260" w:lineRule="auto"/>
        <w:ind w:left="420" w:leftChars="0" w:right="0" w:rightChars="0" w:hanging="420" w:firstLineChars="0"/>
        <w:jc w:val="both"/>
        <w:textAlignment w:val="auto"/>
        <w:outlineLvl w:val="9"/>
        <w:rPr>
          <w:rFonts w:hint="eastAsia"/>
          <w:lang w:val="en-US" w:eastAsia="zh-CN"/>
        </w:rPr>
      </w:pPr>
      <w:r>
        <w:rPr>
          <w:rFonts w:hint="eastAsia"/>
          <w:lang w:val="en-US" w:eastAsia="zh-CN"/>
        </w:rPr>
        <w:t>SRB3 is not supported in NE-DC;</w:t>
      </w:r>
    </w:p>
    <w:p>
      <w:pPr>
        <w:keepNext w:val="0"/>
        <w:keepLines w:val="0"/>
        <w:pageBreakBefore w:val="0"/>
        <w:widowControl w:val="0"/>
        <w:numPr>
          <w:ilvl w:val="0"/>
          <w:numId w:val="5"/>
        </w:numPr>
        <w:kinsoku/>
        <w:wordWrap/>
        <w:overflowPunct/>
        <w:topLinePunct w:val="0"/>
        <w:autoSpaceDE/>
        <w:autoSpaceDN/>
        <w:bidi w:val="0"/>
        <w:adjustRightInd/>
        <w:snapToGrid w:val="0"/>
        <w:spacing w:before="157" w:beforeLines="50" w:after="160" w:line="260" w:lineRule="auto"/>
        <w:ind w:left="420" w:leftChars="0" w:right="0" w:rightChars="0" w:hanging="420" w:firstLineChars="0"/>
        <w:jc w:val="both"/>
        <w:textAlignment w:val="auto"/>
        <w:outlineLvl w:val="9"/>
        <w:rPr>
          <w:rFonts w:hint="eastAsia"/>
          <w:lang w:val="en-US" w:eastAsia="zh-CN"/>
        </w:rPr>
      </w:pPr>
      <w:r>
        <w:rPr>
          <w:rFonts w:hint="eastAsia"/>
          <w:lang w:val="en-US" w:eastAsia="zh-CN"/>
        </w:rPr>
        <w:t xml:space="preserve">MN(i.e. NR) may operate in the higher spectrum, while SN(i.e. LTE) may operate in the lower spectrum; </w:t>
      </w:r>
    </w:p>
    <w:p>
      <w:pPr>
        <w:keepNext w:val="0"/>
        <w:keepLines w:val="0"/>
        <w:pageBreakBefore w:val="0"/>
        <w:widowControl w:val="0"/>
        <w:numPr>
          <w:ilvl w:val="0"/>
          <w:numId w:val="5"/>
        </w:numPr>
        <w:kinsoku/>
        <w:wordWrap/>
        <w:overflowPunct/>
        <w:topLinePunct w:val="0"/>
        <w:autoSpaceDE/>
        <w:autoSpaceDN/>
        <w:bidi w:val="0"/>
        <w:adjustRightInd/>
        <w:snapToGrid w:val="0"/>
        <w:spacing w:before="157" w:beforeLines="50" w:after="160" w:line="260" w:lineRule="auto"/>
        <w:ind w:left="420" w:leftChars="0" w:right="0" w:rightChars="0" w:hanging="420" w:firstLineChars="0"/>
        <w:jc w:val="both"/>
        <w:textAlignment w:val="auto"/>
        <w:outlineLvl w:val="9"/>
        <w:rPr>
          <w:rFonts w:hint="eastAsia"/>
          <w:lang w:val="en-US" w:eastAsia="zh-CN"/>
        </w:rPr>
      </w:pPr>
      <w:r>
        <w:rPr>
          <w:rFonts w:hint="eastAsia"/>
          <w:lang w:val="en-US" w:eastAsia="zh-CN"/>
        </w:rPr>
        <w:t>The inter-node message between MN and SN will be defined in 36.331;</w:t>
      </w:r>
    </w:p>
    <w:p>
      <w:pPr>
        <w:keepNext w:val="0"/>
        <w:keepLines w:val="0"/>
        <w:pageBreakBefore w:val="0"/>
        <w:widowControl w:val="0"/>
        <w:numPr>
          <w:ilvl w:val="0"/>
          <w:numId w:val="5"/>
        </w:numPr>
        <w:kinsoku/>
        <w:wordWrap/>
        <w:overflowPunct/>
        <w:topLinePunct w:val="0"/>
        <w:autoSpaceDE/>
        <w:autoSpaceDN/>
        <w:bidi w:val="0"/>
        <w:adjustRightInd/>
        <w:snapToGrid w:val="0"/>
        <w:spacing w:before="157" w:beforeLines="50" w:after="160" w:line="260" w:lineRule="auto"/>
        <w:ind w:left="420" w:leftChars="0" w:right="0" w:rightChars="0" w:hanging="420" w:firstLineChars="0"/>
        <w:jc w:val="both"/>
        <w:textAlignment w:val="auto"/>
        <w:outlineLvl w:val="9"/>
        <w:rPr>
          <w:rFonts w:hint="eastAsia"/>
          <w:lang w:val="en-US" w:eastAsia="zh-CN"/>
        </w:rPr>
      </w:pPr>
      <w:r>
        <w:rPr>
          <w:rFonts w:hint="eastAsia"/>
          <w:lang w:val="en-US" w:eastAsia="zh-CN"/>
        </w:rPr>
        <w:t>RAN2 should try to minimize the impact on LTE specification.</w:t>
      </w:r>
    </w:p>
    <w:p>
      <w:pPr>
        <w:numPr>
          <w:ilvl w:val="0"/>
          <w:numId w:val="6"/>
        </w:numPr>
        <w:rPr>
          <w:b/>
          <w:bCs/>
          <w:sz w:val="22"/>
          <w:szCs w:val="28"/>
          <w:u w:val="single"/>
        </w:rPr>
      </w:pPr>
      <w:r>
        <w:rPr>
          <w:rFonts w:hint="eastAsia"/>
          <w:b/>
          <w:bCs/>
          <w:sz w:val="22"/>
          <w:szCs w:val="28"/>
          <w:u w:val="single"/>
          <w:lang w:val="en-US" w:eastAsia="zh-CN"/>
        </w:rPr>
        <w:t>Measurement configuration and reporting</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Although SRB3 is not supported in NE-DC, due to different RAT, in order to support flexible SCell addition/deletion in SN node, it make sense to support SN configured measurements. On the other hand, for MN operates in the higher spectrum and small coverage, PCell handover is likely to happen more frequently, to avoid throughput reduction, MN handover with SN keep/change should be supported in NE-DC, then the similar measurement reporting mechanism can be inherited.</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1</w:t>
      </w:r>
      <w:r>
        <w:rPr>
          <w:rFonts w:hint="eastAsia"/>
          <w:b/>
        </w:rPr>
        <w:tab/>
      </w:r>
      <w:r>
        <w:rPr>
          <w:rFonts w:hint="eastAsia"/>
          <w:b/>
          <w:lang w:val="en-US" w:eastAsia="zh-CN"/>
        </w:rPr>
        <w:t>In NE-DC, adopt the following measurement framework:</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 xml:space="preserve">SN configured measurement and measurement reporting can only be encapsulated in LTE RRC message via SRB1; Once MN receives SN measurement report from UE, MN forwards it to SN via Xn interface; </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Both intra-RAT and inter-RAT measurement are supported at MN side, while only intra-RAT measurement is supported at SN side;</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MN supports both SSB based and CSI-RS based NR measurements;</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ind w:left="1678" w:leftChars="0" w:right="0" w:rightChars="0" w:hanging="420" w:firstLineChars="0"/>
        <w:jc w:val="both"/>
        <w:textAlignment w:val="auto"/>
        <w:outlineLvl w:val="9"/>
        <w:rPr>
          <w:rFonts w:hint="eastAsia"/>
          <w:b/>
          <w:lang w:val="en-US" w:eastAsia="zh-CN"/>
        </w:rPr>
      </w:pPr>
      <w:r>
        <w:rPr>
          <w:rFonts w:hint="eastAsia"/>
          <w:b/>
          <w:lang w:val="en-US" w:eastAsia="zh-CN"/>
        </w:rPr>
        <w:t xml:space="preserve">The available measurement results of LTE serving cell and best neighbour cells can be included in MN configured NR A3/A4/A5 events and LTE B1/B2 events.  </w:t>
      </w:r>
    </w:p>
    <w:p>
      <w:pPr>
        <w:numPr>
          <w:ilvl w:val="0"/>
          <w:numId w:val="6"/>
        </w:numPr>
        <w:rPr>
          <w:b/>
          <w:bCs/>
          <w:sz w:val="22"/>
          <w:szCs w:val="28"/>
          <w:u w:val="single"/>
        </w:rPr>
      </w:pPr>
      <w:r>
        <w:rPr>
          <w:rFonts w:hint="eastAsia"/>
          <w:b/>
          <w:bCs/>
          <w:sz w:val="22"/>
          <w:szCs w:val="28"/>
          <w:u w:val="single"/>
          <w:lang w:val="en-US" w:eastAsia="zh-CN"/>
        </w:rPr>
        <w:t>Measurement coordination</w:t>
      </w:r>
    </w:p>
    <w:p>
      <w:pPr>
        <w:spacing w:before="156"/>
        <w:rPr>
          <w:rFonts w:hint="eastAsia"/>
          <w:lang w:val="en-US" w:eastAsia="zh-CN"/>
        </w:rPr>
      </w:pPr>
      <w:r>
        <w:rPr>
          <w:rFonts w:hint="eastAsia"/>
          <w:lang w:val="en-US" w:eastAsia="zh-CN"/>
        </w:rPr>
        <w:t>If proposal1 is adopted, measurement coordination mechanism is required to avoid the configured measurements exceeding UE capability, since inter-RAT measurement is not supported at SN side, we only need to coordinate the number of measured LTE frequencies configured from MN and SN. For simplicity, at least in R15, we can reuse the hard split solution as defined in EN-DC.</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2</w:t>
      </w:r>
      <w:r>
        <w:rPr>
          <w:rFonts w:hint="eastAsia"/>
          <w:b/>
        </w:rPr>
        <w:tab/>
      </w:r>
      <w:r>
        <w:rPr>
          <w:rFonts w:hint="eastAsia"/>
          <w:b/>
          <w:lang w:val="en-US" w:eastAsia="zh-CN"/>
        </w:rPr>
        <w:t>In NE-DC, reuse the measurement coordination framework as defined in EN-DC:</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MN indicates a maximum number of measure</w:t>
      </w:r>
      <w:r>
        <w:rPr>
          <w:rFonts w:hint="eastAsia"/>
          <w:b/>
          <w:highlight w:val="none"/>
          <w:lang w:val="en-US" w:eastAsia="zh-CN"/>
        </w:rPr>
        <w:t xml:space="preserve">d LTE </w:t>
      </w:r>
      <w:r>
        <w:rPr>
          <w:rFonts w:hint="eastAsia"/>
          <w:b/>
          <w:lang w:val="en-US" w:eastAsia="zh-CN"/>
        </w:rPr>
        <w:t>frequency layers that can be used in SN via SCG-ConfigInfo in 36.331;</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Re-negotiation (SN signaling to MN for the purpose to ask for more number of frequency layer) is not supported (at least in Rel-15)</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Consideration on gap configuration and coordination</w:t>
      </w:r>
    </w:p>
    <w:p>
      <w:pPr>
        <w:numPr>
          <w:ilvl w:val="0"/>
          <w:numId w:val="6"/>
        </w:numPr>
        <w:rPr>
          <w:b/>
          <w:bCs/>
          <w:sz w:val="22"/>
          <w:szCs w:val="28"/>
          <w:u w:val="single"/>
        </w:rPr>
      </w:pPr>
      <w:r>
        <w:rPr>
          <w:rFonts w:hint="eastAsia"/>
          <w:b/>
          <w:bCs/>
          <w:sz w:val="22"/>
          <w:szCs w:val="28"/>
          <w:u w:val="single"/>
          <w:lang w:val="en-US" w:eastAsia="zh-CN"/>
        </w:rPr>
        <w:t>Gap configuration</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According to RAN4 LS[1], following gap patterns are defined for MR-DC case(not only EN-DC). </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center"/>
        <w:textAlignment w:val="auto"/>
        <w:outlineLvl w:val="9"/>
        <w:rPr>
          <w:rFonts w:hint="eastAsia"/>
          <w:lang w:val="en-US" w:eastAsia="zh-CN"/>
        </w:rPr>
      </w:pPr>
      <w:r>
        <w:rPr>
          <w:rFonts w:hint="eastAsia"/>
          <w:lang w:val="en-US" w:eastAsia="zh-CN"/>
        </w:rPr>
        <w:t xml:space="preserve">Table 1 </w:t>
      </w:r>
      <w:r>
        <w:rPr>
          <w:snapToGrid w:val="0"/>
        </w:rPr>
        <w:t xml:space="preserve">Applicability for </w:t>
      </w:r>
      <w:r>
        <w:t xml:space="preserve">Gap Pattern Configurations supported by the </w:t>
      </w:r>
      <w:r>
        <w:rPr>
          <w:rFonts w:hint="eastAsia"/>
        </w:rPr>
        <w:t>E-UTRA-NR dual connectivity</w:t>
      </w:r>
      <w:r>
        <w:t xml:space="preserve"> UE</w:t>
      </w:r>
    </w:p>
    <w:tbl>
      <w:tblPr>
        <w:tblStyle w:val="64"/>
        <w:tblW w:w="8755" w:type="dxa"/>
        <w:jc w:val="center"/>
        <w:tblInd w:w="-1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0"/>
        <w:gridCol w:w="1986"/>
        <w:gridCol w:w="1765"/>
        <w:gridCol w:w="3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30" w:type="dxa"/>
            <w:vAlign w:val="top"/>
          </w:tcPr>
          <w:p>
            <w:pPr>
              <w:pStyle w:val="199"/>
              <w:suppressLineNumbers w:val="0"/>
              <w:spacing w:beforeAutospacing="0" w:afterAutospacing="0"/>
              <w:ind w:left="0" w:right="0"/>
              <w:jc w:val="left"/>
              <w:rPr>
                <w:rFonts w:hint="default"/>
                <w:lang w:val="en-US" w:eastAsia="ko-KR"/>
              </w:rPr>
            </w:pPr>
            <w:r>
              <w:rPr>
                <w:rFonts w:hint="eastAsia" w:eastAsia="宋体"/>
                <w:lang w:val="en-US" w:eastAsia="zh-CN"/>
              </w:rPr>
              <w:t>Measurement gap pattern</w:t>
            </w:r>
            <w:r>
              <w:rPr>
                <w:rFonts w:hint="default"/>
                <w:lang w:val="en-US" w:eastAsia="ko-KR"/>
              </w:rPr>
              <w:t xml:space="preserve"> configuration</w:t>
            </w:r>
          </w:p>
        </w:tc>
        <w:tc>
          <w:tcPr>
            <w:tcW w:w="1986" w:type="dxa"/>
            <w:vAlign w:val="top"/>
          </w:tcPr>
          <w:p>
            <w:pPr>
              <w:pStyle w:val="199"/>
              <w:suppressLineNumbers w:val="0"/>
              <w:spacing w:beforeAutospacing="0" w:afterAutospacing="0"/>
              <w:ind w:left="0" w:right="0"/>
              <w:jc w:val="left"/>
              <w:rPr>
                <w:rFonts w:hint="default"/>
                <w:lang w:val="en-US" w:eastAsia="ko-KR"/>
              </w:rPr>
            </w:pPr>
            <w:r>
              <w:rPr>
                <w:rFonts w:hint="default"/>
                <w:lang w:val="en-US" w:eastAsia="ko-KR"/>
              </w:rPr>
              <w:t xml:space="preserve">Serving cell </w:t>
            </w:r>
          </w:p>
        </w:tc>
        <w:tc>
          <w:tcPr>
            <w:tcW w:w="1765" w:type="dxa"/>
            <w:vAlign w:val="top"/>
          </w:tcPr>
          <w:p>
            <w:pPr>
              <w:pStyle w:val="199"/>
              <w:suppressLineNumbers w:val="0"/>
              <w:spacing w:beforeAutospacing="0" w:afterAutospacing="0"/>
              <w:ind w:left="0" w:right="0"/>
              <w:jc w:val="left"/>
              <w:rPr>
                <w:rFonts w:hint="default"/>
                <w:lang w:val="en-US" w:eastAsia="ko-KR"/>
              </w:rPr>
            </w:pPr>
            <w:r>
              <w:rPr>
                <w:rFonts w:hint="default"/>
                <w:lang w:val="en-US" w:eastAsia="ko-KR"/>
              </w:rPr>
              <w:t>Measurement Purpose</w:t>
            </w:r>
          </w:p>
        </w:tc>
        <w:tc>
          <w:tcPr>
            <w:tcW w:w="3374" w:type="dxa"/>
            <w:vAlign w:val="top"/>
          </w:tcPr>
          <w:p>
            <w:pPr>
              <w:pStyle w:val="199"/>
              <w:suppressLineNumbers w:val="0"/>
              <w:spacing w:beforeAutospacing="0" w:afterAutospacing="0"/>
              <w:ind w:left="0" w:right="0"/>
              <w:jc w:val="left"/>
              <w:rPr>
                <w:rFonts w:hint="default"/>
                <w:lang w:val="en-US" w:eastAsia="ko-KR"/>
              </w:rPr>
            </w:pPr>
            <w:r>
              <w:rPr>
                <w:rFonts w:hint="default"/>
                <w:lang w:val="en-US" w:eastAsia="ko-KR"/>
              </w:rPr>
              <w:t>Applicable Gap Pattern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30" w:type="dxa"/>
            <w:vMerge w:val="restart"/>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Per-UE </w:t>
            </w:r>
            <w:r>
              <w:rPr>
                <w:rFonts w:hint="default" w:eastAsia="宋体"/>
                <w:snapToGrid w:val="0"/>
                <w:sz w:val="16"/>
                <w:szCs w:val="18"/>
                <w:lang w:val="en-GB" w:eastAsia="zh-CN"/>
              </w:rPr>
              <w:t>measurement</w:t>
            </w:r>
            <w:r>
              <w:rPr>
                <w:rFonts w:hint="eastAsia" w:eastAsia="宋体"/>
                <w:snapToGrid w:val="0"/>
                <w:sz w:val="16"/>
                <w:szCs w:val="18"/>
                <w:lang w:val="en-GB" w:eastAsia="zh-CN"/>
              </w:rPr>
              <w:t xml:space="preserve"> </w:t>
            </w:r>
            <w:r>
              <w:rPr>
                <w:rFonts w:hint="default"/>
                <w:snapToGrid w:val="0"/>
                <w:sz w:val="16"/>
                <w:szCs w:val="18"/>
                <w:lang w:val="en-GB" w:eastAsia="ko-KR"/>
              </w:rPr>
              <w:t>gap</w:t>
            </w:r>
          </w:p>
        </w:tc>
        <w:tc>
          <w:tcPr>
            <w:tcW w:w="1986" w:type="dxa"/>
            <w:vMerge w:val="restart"/>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E-UTRA + FR1, or </w:t>
            </w:r>
          </w:p>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E-UTRA + FR2, or </w:t>
            </w:r>
          </w:p>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 FR1 + FR2</w:t>
            </w:r>
          </w:p>
        </w:tc>
        <w:tc>
          <w:tcPr>
            <w:tcW w:w="1765"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z w:val="16"/>
                <w:szCs w:val="18"/>
                <w:lang w:val="en-GB" w:eastAsia="ko-KR"/>
              </w:rPr>
              <w:t>E-UTRA only</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30" w:type="dxa"/>
            <w:vMerge w:val="continue"/>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765"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z w:val="16"/>
                <w:szCs w:val="18"/>
                <w:lang w:val="en-GB" w:eastAsia="ko-KR"/>
              </w:rPr>
            </w:pPr>
            <w:r>
              <w:rPr>
                <w:rFonts w:hint="default"/>
                <w:sz w:val="16"/>
                <w:szCs w:val="18"/>
                <w:lang w:val="en-GB" w:eastAsia="ko-KR"/>
              </w:rPr>
              <w:t xml:space="preserve">FR1 and/or FR2 </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w:t>
            </w:r>
            <w:r>
              <w:rPr>
                <w:rFonts w:hint="eastAsia" w:eastAsia="宋体"/>
                <w:snapToGrid w:val="0"/>
                <w:sz w:val="16"/>
                <w:szCs w:val="18"/>
                <w:lang w:val="en-GB" w:eastAsia="zh-CN"/>
              </w:rPr>
              <w:t>-</w:t>
            </w:r>
            <w:r>
              <w:rPr>
                <w:rFonts w:hint="default"/>
                <w:snapToGrid w:val="0"/>
                <w:sz w:val="16"/>
                <w:szCs w:val="18"/>
                <w:lang w:val="en-GB" w:eastAsia="ko-K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765"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E-UTRAN and FR1 and/or FR2</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630" w:type="dxa"/>
            <w:vMerge w:val="restart"/>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Per FR </w:t>
            </w:r>
            <w:r>
              <w:rPr>
                <w:rFonts w:hint="eastAsia" w:eastAsia="宋体"/>
                <w:snapToGrid w:val="0"/>
                <w:sz w:val="16"/>
                <w:szCs w:val="18"/>
                <w:lang w:val="en-GB" w:eastAsia="zh-CN"/>
              </w:rPr>
              <w:t xml:space="preserve">measurement </w:t>
            </w:r>
            <w:r>
              <w:rPr>
                <w:rFonts w:hint="default"/>
                <w:snapToGrid w:val="0"/>
                <w:sz w:val="16"/>
                <w:szCs w:val="18"/>
                <w:lang w:val="en-GB" w:eastAsia="ko-KR"/>
              </w:rPr>
              <w:t>gap</w:t>
            </w: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z w:val="16"/>
                <w:szCs w:val="18"/>
                <w:lang w:val="en-GB" w:eastAsia="ko-KR"/>
              </w:rPr>
              <w:t>E-UTRA only</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[0,1,2,3] </w:t>
            </w:r>
          </w:p>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630" w:type="dxa"/>
            <w:vMerge w:val="continue"/>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No 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2" w:hRule="atLeast"/>
          <w:jc w:val="center"/>
        </w:trPr>
        <w:tc>
          <w:tcPr>
            <w:tcW w:w="1630" w:type="dxa"/>
            <w:vMerge w:val="continue"/>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FR1 only </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w:t>
            </w:r>
            <w:r>
              <w:rPr>
                <w:rFonts w:hint="eastAsia" w:eastAsia="宋体"/>
                <w:snapToGrid w:val="0"/>
                <w:sz w:val="16"/>
                <w:szCs w:val="18"/>
                <w:lang w:val="en-GB" w:eastAsia="zh-CN"/>
              </w:rPr>
              <w:t>-</w:t>
            </w:r>
            <w:r>
              <w:rPr>
                <w:rFonts w:hint="default"/>
                <w:snapToGrid w:val="0"/>
                <w:sz w:val="16"/>
                <w:szCs w:val="18"/>
                <w:lang w:val="en-GB" w:eastAsia="ko-K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1" w:hRule="atLeast"/>
          <w:jc w:val="center"/>
        </w:trPr>
        <w:tc>
          <w:tcPr>
            <w:tcW w:w="1630" w:type="dxa"/>
            <w:vMerge w:val="continue"/>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 only</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E-UTRA and FR1 </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No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FR1 and FR2</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[0</w:t>
            </w:r>
            <w:r>
              <w:rPr>
                <w:rFonts w:hint="eastAsia" w:eastAsia="宋体"/>
                <w:snapToGrid w:val="0"/>
                <w:sz w:val="16"/>
                <w:szCs w:val="18"/>
                <w:lang w:val="en-GB" w:eastAsia="zh-CN"/>
              </w:rPr>
              <w:t>-</w:t>
            </w:r>
            <w:r>
              <w:rPr>
                <w:rFonts w:hint="default"/>
                <w:snapToGrid w:val="0"/>
                <w:sz w:val="16"/>
                <w:szCs w:val="18"/>
                <w:lang w:val="en-GB" w:eastAsia="ko-K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FR2</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[0,1,2,3]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1"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if configured</w:t>
            </w:r>
          </w:p>
        </w:tc>
        <w:tc>
          <w:tcPr>
            <w:tcW w:w="1765" w:type="dxa"/>
            <w:vMerge w:val="restart"/>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E-UTRA and FR1 and FR2</w:t>
            </w: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 xml:space="preserve">[0,1,2,3]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 w:hRule="atLeast"/>
          <w:jc w:val="center"/>
        </w:trPr>
        <w:tc>
          <w:tcPr>
            <w:tcW w:w="1630"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1986" w:type="dxa"/>
            <w:vAlign w:val="center"/>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FR2</w:t>
            </w:r>
            <w:r>
              <w:rPr>
                <w:rFonts w:hint="default" w:eastAsia="宋体" w:cs="Arial"/>
                <w:sz w:val="16"/>
                <w:szCs w:val="16"/>
                <w:lang w:val="en-GB" w:eastAsia="ko-KR"/>
              </w:rPr>
              <w:t xml:space="preserve"> if configured</w:t>
            </w:r>
          </w:p>
        </w:tc>
        <w:tc>
          <w:tcPr>
            <w:tcW w:w="1765" w:type="dxa"/>
            <w:vMerge w:val="continue"/>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p>
        </w:tc>
        <w:tc>
          <w:tcPr>
            <w:tcW w:w="3374" w:type="dxa"/>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textAlignment w:val="baseline"/>
              <w:outlineLvl w:val="9"/>
              <w:rPr>
                <w:rFonts w:hint="default"/>
                <w:snapToGrid w:val="0"/>
                <w:sz w:val="16"/>
                <w:szCs w:val="18"/>
                <w:lang w:val="en-GB" w:eastAsia="ko-KR"/>
              </w:rPr>
            </w:pPr>
            <w:r>
              <w:rPr>
                <w:rFonts w:hint="default"/>
                <w:snapToGrid w:val="0"/>
                <w:sz w:val="16"/>
                <w:szCs w:val="18"/>
                <w:lang w:val="en-GB" w:eastAsia="ko-KR"/>
              </w:rPr>
              <w:t>[12-23]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0" w:hRule="atLeast"/>
          <w:jc w:val="center"/>
        </w:trPr>
        <w:tc>
          <w:tcPr>
            <w:tcW w:w="8755" w:type="dxa"/>
            <w:gridSpan w:val="4"/>
            <w:vAlign w:val="top"/>
          </w:tcPr>
          <w:p>
            <w:pPr>
              <w:pStyle w:val="22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40" w:afterAutospacing="0" w:line="240" w:lineRule="auto"/>
              <w:ind w:left="0" w:leftChars="0" w:right="0" w:rightChars="0" w:firstLine="0" w:firstLineChars="0"/>
              <w:jc w:val="left"/>
              <w:textAlignment w:val="baseline"/>
              <w:outlineLvl w:val="9"/>
              <w:rPr>
                <w:rFonts w:hint="default" w:eastAsia="宋体"/>
                <w:i/>
                <w:sz w:val="16"/>
                <w:szCs w:val="18"/>
                <w:lang w:val="en-GB" w:eastAsia="zh-CN"/>
              </w:rPr>
            </w:pPr>
            <w:r>
              <w:rPr>
                <w:rFonts w:hint="default"/>
                <w:i/>
                <w:sz w:val="16"/>
                <w:szCs w:val="18"/>
                <w:lang w:val="en-GB" w:eastAsia="ko-KR"/>
              </w:rPr>
              <w:t>Note: if GSM or UTRA TDD or UTRA FDD inter-RAT frequency layer is configured to be monitered, only measurement gap pattern #0 and #1 can be used for per-FR gap in E-UTRA and FR1 if configured, or for per-UE gap.</w:t>
            </w:r>
          </w:p>
        </w:tc>
      </w:tr>
    </w:tbl>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As we discussed in EN-DC scenario, for per-FR FR2 gap pattern(i.e. gap pattern 12~23), considering it only influence the scheduling of serving cell operating on FR2 frequency, and only SCG can be configured with FR2 frequency, so RAN2 concluded that FR2 gap should be configured by SN side, and UE calculates the FR2 gap position based on the timing reference of PSCell.</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vertAlign w:val="baseline"/>
          <w:lang w:val="en-US" w:eastAsia="zh-CN"/>
        </w:rPr>
      </w:pPr>
      <w:r>
        <w:rPr>
          <w:rFonts w:hint="eastAsia"/>
          <w:lang w:val="en-US" w:eastAsia="zh-CN"/>
        </w:rPr>
        <w:t>However in NE-DC, MN can operate on NR FR1 frequency or NR FR2 frequency or both FR1&amp;FR2 frequencies. So the benefit of configuring FR2 gap via SN node is not existed. The relation between gap pattern and scheduling impact is shown in the following table:</w:t>
      </w:r>
    </w:p>
    <w:tbl>
      <w:tblPr>
        <w:tblStyle w:val="65"/>
        <w:tblW w:w="7683" w:type="dxa"/>
        <w:jc w:val="center"/>
        <w:tblInd w:w="5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3"/>
        <w:gridCol w:w="1650"/>
        <w:gridCol w:w="1592"/>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3"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Gap pattern</w:t>
            </w:r>
          </w:p>
        </w:tc>
        <w:tc>
          <w:tcPr>
            <w:tcW w:w="3242"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 xml:space="preserve">Schedule impact on </w:t>
            </w:r>
          </w:p>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MN serving cells</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 xml:space="preserve">Schedule impact on </w:t>
            </w:r>
          </w:p>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SN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3"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NR FR1 Cell(s)</w:t>
            </w:r>
          </w:p>
        </w:tc>
        <w:tc>
          <w:tcPr>
            <w:tcW w:w="1592"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NR FR2 Cell(s)</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LTE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43"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Per-UE gap</w:t>
            </w: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c>
          <w:tcPr>
            <w:tcW w:w="1592"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2443"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Independent LTE/FR1 gap</w:t>
            </w: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c>
          <w:tcPr>
            <w:tcW w:w="1592"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No</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2443"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Independent FR2 gap</w:t>
            </w:r>
          </w:p>
        </w:tc>
        <w:tc>
          <w:tcPr>
            <w:tcW w:w="1650"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No</w:t>
            </w:r>
          </w:p>
        </w:tc>
        <w:tc>
          <w:tcPr>
            <w:tcW w:w="1592"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color w:val="FF0000"/>
                <w:sz w:val="20"/>
                <w:szCs w:val="20"/>
                <w:vertAlign w:val="baseline"/>
                <w:lang w:val="en-US" w:eastAsia="zh-CN"/>
              </w:rPr>
              <w:t>Yes</w:t>
            </w:r>
          </w:p>
        </w:tc>
        <w:tc>
          <w:tcPr>
            <w:tcW w:w="1998"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center"/>
              <w:textAlignment w:val="auto"/>
              <w:outlineLvl w:val="9"/>
              <w:rPr>
                <w:rFonts w:hint="eastAsia"/>
                <w:sz w:val="20"/>
                <w:szCs w:val="20"/>
                <w:vertAlign w:val="baseline"/>
                <w:lang w:val="en-US" w:eastAsia="zh-CN"/>
              </w:rPr>
            </w:pPr>
            <w:r>
              <w:rPr>
                <w:rFonts w:hint="eastAsia"/>
                <w:sz w:val="20"/>
                <w:szCs w:val="20"/>
                <w:vertAlign w:val="baseline"/>
                <w:lang w:val="en-US" w:eastAsia="zh-CN"/>
              </w:rPr>
              <w:t>No</w:t>
            </w:r>
          </w:p>
        </w:tc>
      </w:tr>
    </w:tbl>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As we can seen, irrespective of gap pattern, the scheduling of MN serving cell will be influenced, especially for FR2 gap, so it</w:t>
      </w:r>
      <w:r>
        <w:rPr>
          <w:rFonts w:hint="default"/>
          <w:lang w:val="en-US" w:eastAsia="zh-CN"/>
        </w:rPr>
        <w:t>’</w:t>
      </w:r>
      <w:r>
        <w:rPr>
          <w:rFonts w:hint="eastAsia"/>
          <w:lang w:val="en-US" w:eastAsia="zh-CN"/>
        </w:rPr>
        <w:t>s reasonable to let MN configure all gap patterns. And for per-UE gap and independent LTE/FR1 gap, MN should deliver the gap configuration to SN if gap is enabled.</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For the explicit indication of gap type(i.e. per-UE gap or per-FR1 gap), at least in Xn interface from MN to SN, it is not needed due to the scheduling of all LTE serving cells will be impacted. For Uu interface, UE needs to differentiate the per-UE gap and per-FR1 gap by the explicit indication from network, nevertheless, for FR2 gap, considering the particular MGL value range, then MN only need to indicate per-UE gap or per-FR gap type, UE can differentiate FR1 gap and FR2 gap by itself. So we propose:</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3</w:t>
      </w:r>
      <w:r>
        <w:rPr>
          <w:rFonts w:hint="eastAsia"/>
          <w:b/>
        </w:rPr>
        <w:tab/>
      </w:r>
      <w:r>
        <w:rPr>
          <w:rFonts w:hint="eastAsia"/>
          <w:b/>
          <w:lang w:val="en-US" w:eastAsia="zh-CN"/>
        </w:rPr>
        <w:t>In NE-DC, adopt the following gap configuration framework:</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highlight w:val="none"/>
          <w:lang w:val="en-US" w:eastAsia="zh-CN"/>
        </w:rPr>
      </w:pPr>
      <w:r>
        <w:rPr>
          <w:rFonts w:hint="eastAsia"/>
          <w:b/>
          <w:highlight w:val="none"/>
          <w:lang w:val="en-US" w:eastAsia="zh-CN"/>
        </w:rPr>
        <w:t>Either per-UE gap or per-FR gap is configured by MN;</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For either per-UE gap or independent LTE/FR1 gap, MN should indicate the gap pattern to SN via X2 interface, while the explicit gap type indication is not needed;</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highlight w:val="none"/>
          <w:lang w:val="en-US" w:eastAsia="zh-CN"/>
        </w:rPr>
      </w:pPr>
      <w:r>
        <w:rPr>
          <w:rFonts w:hint="eastAsia"/>
          <w:b/>
          <w:highlight w:val="none"/>
          <w:lang w:val="en-US" w:eastAsia="zh-CN"/>
        </w:rPr>
        <w:t>For either per-UE gap or per-FR gap, MN can explicitly indicate the gap type to UE;</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UE calculates the gap pattern based on the SFN and frame of NR PCell.</w:t>
      </w:r>
    </w:p>
    <w:p>
      <w:pPr>
        <w:numPr>
          <w:ilvl w:val="0"/>
          <w:numId w:val="6"/>
        </w:numPr>
        <w:rPr>
          <w:b/>
          <w:bCs/>
          <w:sz w:val="22"/>
          <w:szCs w:val="28"/>
          <w:u w:val="single"/>
        </w:rPr>
      </w:pPr>
      <w:r>
        <w:rPr>
          <w:rFonts w:hint="eastAsia"/>
          <w:b/>
          <w:bCs/>
          <w:sz w:val="22"/>
          <w:szCs w:val="28"/>
          <w:u w:val="single"/>
          <w:lang w:val="en-US" w:eastAsia="zh-CN"/>
        </w:rPr>
        <w:t>Gap coordination</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If proposal 3 is adopted, the gap coordination is only needed when SN needs to configure gap assisted measurements, and SN has not already received a gap pattern from MN. However, different from EN-DC and NGEN-DC, for measuring on LTE frequencies, assistance information might not be needed due to the periodicity of CRS/PSS/SSS in LTE is fixed 5ms, additionally, gap pattern is decided by MN itself and MN is aware of the SMTC/CSI-RS configuration of each NR frequency.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4</w:t>
      </w:r>
      <w:r>
        <w:rPr>
          <w:rFonts w:hint="eastAsia"/>
          <w:b/>
        </w:rPr>
        <w:tab/>
      </w:r>
      <w:r>
        <w:rPr>
          <w:rFonts w:hint="eastAsia"/>
          <w:b/>
          <w:lang w:val="en-US" w:eastAsia="zh-CN"/>
        </w:rPr>
        <w:t>In NE-DC, assistance information(eg. measured freq list) is not exchanged between MN and SN for gap coordination purpose.</w:t>
      </w:r>
    </w:p>
    <w:p>
      <w:pPr>
        <w:keepNext w:val="0"/>
        <w:keepLines w:val="0"/>
        <w:pageBreakBefore w:val="0"/>
        <w:widowControl w:val="0"/>
        <w:kinsoku/>
        <w:wordWrap/>
        <w:overflowPunct/>
        <w:topLinePunct w:val="0"/>
        <w:autoSpaceDE/>
        <w:autoSpaceDN/>
        <w:bidi w:val="0"/>
        <w:adjustRightInd/>
        <w:snapToGrid w:val="0"/>
        <w:spacing w:before="157" w:beforeLines="50" w:after="160" w:line="260" w:lineRule="auto"/>
        <w:ind w:left="0" w:leftChars="0" w:right="0" w:rightChars="0" w:firstLine="0" w:firstLineChars="0"/>
        <w:jc w:val="both"/>
        <w:textAlignment w:val="auto"/>
        <w:outlineLvl w:val="9"/>
        <w:rPr>
          <w:rFonts w:hint="eastAsia"/>
          <w:lang w:val="en-US" w:eastAsia="zh-CN"/>
        </w:rPr>
      </w:pPr>
      <w:r>
        <w:rPr>
          <w:rFonts w:hint="eastAsia"/>
          <w:lang w:val="en-US" w:eastAsia="zh-CN"/>
        </w:rPr>
        <w:t xml:space="preserve">For gap coordination procedure, although detail measured frequency list is not required in NE-DC, but SN can send an explicit indication to MN to indicate the need of gap. For example, if SN needs to configure gap assisted measurements, and SN has not already received a gap pattern from MN, SN can send a </w:t>
      </w:r>
      <w:r>
        <w:rPr>
          <w:rFonts w:hint="default"/>
          <w:lang w:val="en-US" w:eastAsia="zh-CN"/>
        </w:rPr>
        <w:t>“</w:t>
      </w:r>
      <w:r>
        <w:rPr>
          <w:rFonts w:hint="eastAsia"/>
          <w:lang w:val="en-US" w:eastAsia="zh-CN"/>
        </w:rPr>
        <w:t>gap required</w:t>
      </w:r>
      <w:r>
        <w:rPr>
          <w:rFonts w:hint="default"/>
          <w:lang w:val="en-US" w:eastAsia="zh-CN"/>
        </w:rPr>
        <w:t>”</w:t>
      </w:r>
      <w:r>
        <w:rPr>
          <w:rFonts w:hint="eastAsia"/>
          <w:lang w:val="en-US" w:eastAsia="zh-CN"/>
        </w:rPr>
        <w:t xml:space="preserve"> indication to MN via SCG-Config; if SN wants to delete all gap assisted measurements, SN can send a </w:t>
      </w:r>
      <w:r>
        <w:rPr>
          <w:rFonts w:hint="default"/>
          <w:lang w:val="en-US" w:eastAsia="zh-CN"/>
        </w:rPr>
        <w:t>“</w:t>
      </w:r>
      <w:r>
        <w:rPr>
          <w:rFonts w:hint="eastAsia"/>
          <w:lang w:val="en-US" w:eastAsia="zh-CN"/>
        </w:rPr>
        <w:t>gap not required</w:t>
      </w:r>
      <w:r>
        <w:rPr>
          <w:rFonts w:hint="default"/>
          <w:lang w:val="en-US" w:eastAsia="zh-CN"/>
        </w:rPr>
        <w:t>”</w:t>
      </w:r>
      <w:r>
        <w:rPr>
          <w:rFonts w:hint="eastAsia"/>
          <w:lang w:val="en-US" w:eastAsia="zh-CN"/>
        </w:rPr>
        <w:t xml:space="preserve"> indication to MN via SCG-Config. In the second scenario, if MN responses a gap pattern to SN, it implies that gap is still needed due to MN configured measurements.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5</w:t>
      </w:r>
      <w:r>
        <w:rPr>
          <w:rFonts w:hint="eastAsia"/>
          <w:b/>
        </w:rPr>
        <w:tab/>
      </w:r>
      <w:r>
        <w:rPr>
          <w:rFonts w:hint="eastAsia"/>
          <w:b/>
          <w:lang w:val="en-US" w:eastAsia="zh-CN"/>
        </w:rPr>
        <w:t xml:space="preserve">In NE-DC, SN can send an explicit indication to MN to indicate whether gap is required or not for SN configured measurements.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w:t>
      </w:r>
      <w:r>
        <w:t>:</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1</w:t>
      </w:r>
      <w:r>
        <w:rPr>
          <w:rFonts w:hint="eastAsia"/>
          <w:b/>
        </w:rPr>
        <w:tab/>
      </w:r>
      <w:r>
        <w:rPr>
          <w:rFonts w:hint="eastAsia"/>
          <w:b/>
          <w:lang w:val="en-US" w:eastAsia="zh-CN"/>
        </w:rPr>
        <w:t>In NE-DC, adopt the following measurement framework:</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 xml:space="preserve">SN configured measurement and measurement reporting can only be encapsulated in LTE RRC message via SRB1; Once MN receives SN measurement report from UE, MN forwards it to SN via Xn interface; </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Both intra-RAT and inter-RAT measurement are supported at MN side, while only intra-RAT measurement is supported at SN side;</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MN supports both SSB based and CSI-RS based NR measurements;</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ind w:left="1678" w:leftChars="0" w:right="0" w:rightChars="0" w:hanging="420" w:firstLineChars="0"/>
        <w:jc w:val="both"/>
        <w:textAlignment w:val="auto"/>
        <w:outlineLvl w:val="9"/>
        <w:rPr>
          <w:rFonts w:hint="eastAsia"/>
          <w:b/>
          <w:lang w:val="en-US" w:eastAsia="zh-CN"/>
        </w:rPr>
      </w:pPr>
      <w:r>
        <w:rPr>
          <w:rFonts w:hint="eastAsia"/>
          <w:b/>
          <w:lang w:val="en-US" w:eastAsia="zh-CN"/>
        </w:rPr>
        <w:t xml:space="preserve">The available measurement results of LTE serving cell and best neighbour cells can be included in MN configured NR A3/A4/A5 events and LTE B1/B2 events.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2</w:t>
      </w:r>
      <w:r>
        <w:rPr>
          <w:rFonts w:hint="eastAsia"/>
          <w:b/>
        </w:rPr>
        <w:tab/>
      </w:r>
      <w:r>
        <w:rPr>
          <w:rFonts w:hint="eastAsia"/>
          <w:b/>
          <w:lang w:val="en-US" w:eastAsia="zh-CN"/>
        </w:rPr>
        <w:t>In NE-DC, reuse the measurement coordination framework as defined in EN-DC:</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MN indicates a maximum number of measure</w:t>
      </w:r>
      <w:r>
        <w:rPr>
          <w:rFonts w:hint="eastAsia"/>
          <w:b/>
          <w:highlight w:val="none"/>
          <w:lang w:val="en-US" w:eastAsia="zh-CN"/>
        </w:rPr>
        <w:t xml:space="preserve">d LTE </w:t>
      </w:r>
      <w:r>
        <w:rPr>
          <w:rFonts w:hint="eastAsia"/>
          <w:b/>
          <w:lang w:val="en-US" w:eastAsia="zh-CN"/>
        </w:rPr>
        <w:t>frequency layers that can be used in SN via SCG-ConfigInfo in 36.331;</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Re-negotiation (SN signaling to MN for the purpose to ask for more number of frequency layer) is not supported (at least in Rel-15)</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3</w:t>
      </w:r>
      <w:r>
        <w:rPr>
          <w:rFonts w:hint="eastAsia"/>
          <w:b/>
        </w:rPr>
        <w:tab/>
      </w:r>
      <w:r>
        <w:rPr>
          <w:rFonts w:hint="eastAsia"/>
          <w:b/>
          <w:lang w:val="en-US" w:eastAsia="zh-CN"/>
        </w:rPr>
        <w:t>In NE-DC, adopt the following gap configuration framework:</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highlight w:val="none"/>
          <w:lang w:val="en-US" w:eastAsia="zh-CN"/>
        </w:rPr>
      </w:pPr>
      <w:r>
        <w:rPr>
          <w:rFonts w:hint="eastAsia"/>
          <w:b/>
          <w:highlight w:val="none"/>
          <w:lang w:val="en-US" w:eastAsia="zh-CN"/>
        </w:rPr>
        <w:t>Either per-UE gap or per-FR gap is configured by MN;</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For either per-UE gap or independent LTE/FR1 gap, MN should indicate the gap pattern to SN via X2 interface, while the explicit gap type indication is not needed;</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highlight w:val="none"/>
          <w:lang w:val="en-US" w:eastAsia="zh-CN"/>
        </w:rPr>
      </w:pPr>
      <w:r>
        <w:rPr>
          <w:rFonts w:hint="eastAsia"/>
          <w:b/>
          <w:highlight w:val="none"/>
          <w:lang w:val="en-US" w:eastAsia="zh-CN"/>
        </w:rPr>
        <w:t>For either per-UE gap or per-FR gap, MN can explicitly indicate the gap type to UE;</w:t>
      </w:r>
    </w:p>
    <w:p>
      <w:pPr>
        <w:keepNext w:val="0"/>
        <w:keepLines w:val="0"/>
        <w:pageBreakBefore w:val="0"/>
        <w:widowControl w:val="0"/>
        <w:numPr>
          <w:ilvl w:val="0"/>
          <w:numId w:val="7"/>
        </w:numPr>
        <w:kinsoku/>
        <w:wordWrap/>
        <w:overflowPunct/>
        <w:topLinePunct w:val="0"/>
        <w:autoSpaceDE/>
        <w:autoSpaceDN/>
        <w:bidi w:val="0"/>
        <w:adjustRightInd/>
        <w:snapToGrid w:val="0"/>
        <w:spacing w:before="0" w:beforeLines="0" w:after="157" w:afterLines="50" w:line="260" w:lineRule="auto"/>
        <w:ind w:left="1678" w:leftChars="0" w:right="0" w:rightChars="0" w:hanging="420" w:firstLineChars="0"/>
        <w:jc w:val="both"/>
        <w:textAlignment w:val="auto"/>
        <w:outlineLvl w:val="9"/>
        <w:rPr>
          <w:rFonts w:hint="eastAsia"/>
          <w:b/>
          <w:lang w:val="en-US" w:eastAsia="zh-CN"/>
        </w:rPr>
      </w:pPr>
      <w:r>
        <w:rPr>
          <w:rFonts w:hint="eastAsia"/>
          <w:b/>
          <w:lang w:val="en-US" w:eastAsia="zh-CN"/>
        </w:rPr>
        <w:t>UE calculates the gap pattern based on the SFN and frame of NR PCell.</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4</w:t>
      </w:r>
      <w:r>
        <w:rPr>
          <w:rFonts w:hint="eastAsia"/>
          <w:b/>
        </w:rPr>
        <w:tab/>
      </w:r>
      <w:r>
        <w:rPr>
          <w:rFonts w:hint="eastAsia"/>
          <w:b/>
          <w:lang w:val="en-US" w:eastAsia="zh-CN"/>
        </w:rPr>
        <w:t>In NE-DC, assistance information(eg. measured freq list) is not exchanged between MN and SN for gap coordination purpose.</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lang w:val="en-US" w:eastAsia="zh-CN"/>
        </w:rPr>
        <w:t>5</w:t>
      </w:r>
      <w:r>
        <w:rPr>
          <w:rFonts w:hint="eastAsia"/>
          <w:b/>
        </w:rPr>
        <w:tab/>
      </w:r>
      <w:r>
        <w:rPr>
          <w:rFonts w:hint="eastAsia"/>
          <w:b/>
          <w:lang w:val="en-US" w:eastAsia="zh-CN"/>
        </w:rPr>
        <w:t xml:space="preserve">In NE-DC, SN can send an explicit indication to MN to indicate whether gap is required or not for SN configured measurements.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67"/>
        <w:spacing w:before="156"/>
        <w:ind w:left="417" w:leftChars="0" w:hanging="417" w:hangingChars="199"/>
        <w:rPr>
          <w:rFonts w:hint="eastAsia"/>
          <w:lang w:val="en-US" w:eastAsia="zh-CN"/>
        </w:rPr>
      </w:pPr>
      <w:r>
        <w:rPr>
          <w:rFonts w:hint="eastAsia"/>
          <w:sz w:val="21"/>
          <w:szCs w:val="22"/>
          <w:lang w:val="en-US" w:eastAsia="zh-CN"/>
        </w:rPr>
        <w:t>[1]</w:t>
      </w:r>
      <w:r>
        <w:rPr>
          <w:rFonts w:hint="eastAsia"/>
          <w:sz w:val="21"/>
          <w:szCs w:val="22"/>
          <w:lang w:val="en-US" w:eastAsia="zh-CN"/>
        </w:rPr>
        <w:tab/>
      </w:r>
      <w:r>
        <w:rPr>
          <w:rFonts w:hint="eastAsia"/>
          <w:sz w:val="21"/>
          <w:szCs w:val="22"/>
          <w:lang w:val="en-US" w:eastAsia="zh-CN"/>
        </w:rPr>
        <w:t>R2-1801732 LS on measur</w:t>
      </w:r>
      <w:bookmarkStart w:id="2" w:name="_GoBack"/>
      <w:bookmarkEnd w:id="2"/>
      <w:r>
        <w:rPr>
          <w:rFonts w:hint="eastAsia"/>
          <w:sz w:val="21"/>
          <w:szCs w:val="22"/>
          <w:lang w:val="en-US" w:eastAsia="zh-CN"/>
        </w:rPr>
        <w:t>ement gap patterns</w:t>
      </w:r>
      <w:r>
        <w:rPr>
          <w:rFonts w:hint="eastAsia"/>
          <w:sz w:val="21"/>
          <w:szCs w:val="22"/>
          <w:lang w:val="en-US" w:eastAsia="zh-CN"/>
        </w:rPr>
        <w:tab/>
      </w:r>
      <w:r>
        <w:rPr>
          <w:rFonts w:hint="eastAsia"/>
          <w:sz w:val="21"/>
          <w:szCs w:val="22"/>
          <w:lang w:val="en-US" w:eastAsia="zh-CN"/>
        </w:rPr>
        <w:t>Source RAN4, To RAN2.</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C59EBA"/>
    <w:multiLevelType w:val="singleLevel"/>
    <w:tmpl w:val="BAC59EBA"/>
    <w:lvl w:ilvl="0" w:tentative="0">
      <w:start w:val="1"/>
      <w:numFmt w:val="bullet"/>
      <w:lvlText w:val="▪"/>
      <w:lvlJc w:val="left"/>
      <w:pPr>
        <w:ind w:left="420" w:leftChars="0" w:hanging="420" w:firstLineChars="0"/>
      </w:pPr>
      <w:rPr>
        <w:rFonts w:hint="default" w:ascii="Arial" w:hAnsi="Arial" w:cs="Arial"/>
      </w:rPr>
    </w:lvl>
  </w:abstractNum>
  <w:abstractNum w:abstractNumId="1">
    <w:nsid w:val="F661B40E"/>
    <w:multiLevelType w:val="singleLevel"/>
    <w:tmpl w:val="F661B40E"/>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D43E8ED"/>
    <w:multiLevelType w:val="multilevel"/>
    <w:tmpl w:val="5D43E8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60EF8845"/>
    <w:multiLevelType w:val="singleLevel"/>
    <w:tmpl w:val="60EF8845"/>
    <w:lvl w:ilvl="0" w:tentative="0">
      <w:start w:val="1"/>
      <w:numFmt w:val="bullet"/>
      <w:lvlText w:val="▪"/>
      <w:lvlJc w:val="left"/>
      <w:pPr>
        <w:ind w:left="420" w:leftChars="0" w:hanging="420" w:firstLineChars="0"/>
      </w:pPr>
      <w:rPr>
        <w:rFonts w:hint="default" w:ascii="Arial" w:hAnsi="Arial" w:cs="Arial"/>
      </w:rPr>
    </w:lvl>
  </w:abstractNum>
  <w:num w:numId="1">
    <w:abstractNumId w:val="2"/>
  </w:num>
  <w:num w:numId="2">
    <w:abstractNumId w:val="4"/>
  </w:num>
  <w:num w:numId="3">
    <w:abstractNumId w:val="3"/>
  </w:num>
  <w:num w:numId="4">
    <w:abstractNumId w:val="5"/>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17B30"/>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24344E"/>
    <w:rsid w:val="02AA0F54"/>
    <w:rsid w:val="032B5B4B"/>
    <w:rsid w:val="034A18C1"/>
    <w:rsid w:val="041152F7"/>
    <w:rsid w:val="0413105E"/>
    <w:rsid w:val="04960FC9"/>
    <w:rsid w:val="049D061B"/>
    <w:rsid w:val="0556778F"/>
    <w:rsid w:val="05C32E54"/>
    <w:rsid w:val="05E76657"/>
    <w:rsid w:val="06746052"/>
    <w:rsid w:val="067552CA"/>
    <w:rsid w:val="067D464C"/>
    <w:rsid w:val="06A179A0"/>
    <w:rsid w:val="06E05C63"/>
    <w:rsid w:val="07771801"/>
    <w:rsid w:val="07825B13"/>
    <w:rsid w:val="07864148"/>
    <w:rsid w:val="085636D7"/>
    <w:rsid w:val="08B665B2"/>
    <w:rsid w:val="09F42949"/>
    <w:rsid w:val="0ADA27AB"/>
    <w:rsid w:val="0B233C4C"/>
    <w:rsid w:val="0C085429"/>
    <w:rsid w:val="0CB302D0"/>
    <w:rsid w:val="0CFF2AF0"/>
    <w:rsid w:val="0D9F789E"/>
    <w:rsid w:val="0E404148"/>
    <w:rsid w:val="0E6675E9"/>
    <w:rsid w:val="0F0670A0"/>
    <w:rsid w:val="0F117F9B"/>
    <w:rsid w:val="0F292443"/>
    <w:rsid w:val="10605775"/>
    <w:rsid w:val="10D00944"/>
    <w:rsid w:val="10E66856"/>
    <w:rsid w:val="121151DD"/>
    <w:rsid w:val="13917374"/>
    <w:rsid w:val="14562E10"/>
    <w:rsid w:val="148C2E3A"/>
    <w:rsid w:val="148D072E"/>
    <w:rsid w:val="15440243"/>
    <w:rsid w:val="154F0B44"/>
    <w:rsid w:val="155A6687"/>
    <w:rsid w:val="159B0B4F"/>
    <w:rsid w:val="159F10C6"/>
    <w:rsid w:val="15A16A04"/>
    <w:rsid w:val="16511444"/>
    <w:rsid w:val="1657778B"/>
    <w:rsid w:val="16FA3B1B"/>
    <w:rsid w:val="17AE3625"/>
    <w:rsid w:val="18690CFB"/>
    <w:rsid w:val="18925987"/>
    <w:rsid w:val="191B3FEB"/>
    <w:rsid w:val="19B84071"/>
    <w:rsid w:val="19D81B97"/>
    <w:rsid w:val="1B1962E0"/>
    <w:rsid w:val="1B6E36D8"/>
    <w:rsid w:val="1BFE2EE5"/>
    <w:rsid w:val="1C687840"/>
    <w:rsid w:val="1D60281E"/>
    <w:rsid w:val="1F7230F8"/>
    <w:rsid w:val="20582F06"/>
    <w:rsid w:val="211A1954"/>
    <w:rsid w:val="21627AA4"/>
    <w:rsid w:val="224061F6"/>
    <w:rsid w:val="225D0863"/>
    <w:rsid w:val="22787D6E"/>
    <w:rsid w:val="22AC71C4"/>
    <w:rsid w:val="234C36DC"/>
    <w:rsid w:val="23B63131"/>
    <w:rsid w:val="23CC2B77"/>
    <w:rsid w:val="242B5E7E"/>
    <w:rsid w:val="2451628F"/>
    <w:rsid w:val="247A650D"/>
    <w:rsid w:val="2542153C"/>
    <w:rsid w:val="255F1AC1"/>
    <w:rsid w:val="25C92402"/>
    <w:rsid w:val="26333AF0"/>
    <w:rsid w:val="26F87D22"/>
    <w:rsid w:val="27134220"/>
    <w:rsid w:val="27E10E26"/>
    <w:rsid w:val="28951DB2"/>
    <w:rsid w:val="28EF6271"/>
    <w:rsid w:val="28FB11CD"/>
    <w:rsid w:val="29055DDE"/>
    <w:rsid w:val="290C36EF"/>
    <w:rsid w:val="2915415F"/>
    <w:rsid w:val="29281FAC"/>
    <w:rsid w:val="296B560B"/>
    <w:rsid w:val="29A315E5"/>
    <w:rsid w:val="29FD0268"/>
    <w:rsid w:val="2B257241"/>
    <w:rsid w:val="2B6D766B"/>
    <w:rsid w:val="2BB820EE"/>
    <w:rsid w:val="2C1057E5"/>
    <w:rsid w:val="2CC87E6F"/>
    <w:rsid w:val="2CE60D81"/>
    <w:rsid w:val="2E9A0203"/>
    <w:rsid w:val="2E9C3162"/>
    <w:rsid w:val="2EAC79D3"/>
    <w:rsid w:val="2FA04582"/>
    <w:rsid w:val="2FA73BC2"/>
    <w:rsid w:val="2FE124C5"/>
    <w:rsid w:val="30906EDC"/>
    <w:rsid w:val="30BC181C"/>
    <w:rsid w:val="30D7158A"/>
    <w:rsid w:val="311C6F65"/>
    <w:rsid w:val="31F53C53"/>
    <w:rsid w:val="3274443B"/>
    <w:rsid w:val="333236C6"/>
    <w:rsid w:val="335D01AB"/>
    <w:rsid w:val="33CE46B3"/>
    <w:rsid w:val="33F70228"/>
    <w:rsid w:val="34035E02"/>
    <w:rsid w:val="34164647"/>
    <w:rsid w:val="349C563D"/>
    <w:rsid w:val="351A3725"/>
    <w:rsid w:val="36314129"/>
    <w:rsid w:val="378E702D"/>
    <w:rsid w:val="37B164B2"/>
    <w:rsid w:val="37BD3193"/>
    <w:rsid w:val="37C65713"/>
    <w:rsid w:val="37E06357"/>
    <w:rsid w:val="37EE5580"/>
    <w:rsid w:val="38214920"/>
    <w:rsid w:val="383B10C1"/>
    <w:rsid w:val="38487BE4"/>
    <w:rsid w:val="38A103A0"/>
    <w:rsid w:val="38AA67C6"/>
    <w:rsid w:val="39807CC0"/>
    <w:rsid w:val="39D626D1"/>
    <w:rsid w:val="39F30B3F"/>
    <w:rsid w:val="3A28062C"/>
    <w:rsid w:val="3B2F0F23"/>
    <w:rsid w:val="3B360523"/>
    <w:rsid w:val="3C3B39BF"/>
    <w:rsid w:val="3CD8299C"/>
    <w:rsid w:val="3D7D6E14"/>
    <w:rsid w:val="3DCF2E0D"/>
    <w:rsid w:val="3DF07251"/>
    <w:rsid w:val="3F22265A"/>
    <w:rsid w:val="3F5E685A"/>
    <w:rsid w:val="3F6716E0"/>
    <w:rsid w:val="3F6F3D8F"/>
    <w:rsid w:val="3F751146"/>
    <w:rsid w:val="403409ED"/>
    <w:rsid w:val="413A1483"/>
    <w:rsid w:val="43075B38"/>
    <w:rsid w:val="432C35DA"/>
    <w:rsid w:val="43410D92"/>
    <w:rsid w:val="444F0F50"/>
    <w:rsid w:val="445F34EB"/>
    <w:rsid w:val="44807771"/>
    <w:rsid w:val="44C70D28"/>
    <w:rsid w:val="44CA5ED0"/>
    <w:rsid w:val="44F84F89"/>
    <w:rsid w:val="464C7438"/>
    <w:rsid w:val="465002DF"/>
    <w:rsid w:val="47BA7497"/>
    <w:rsid w:val="47C90932"/>
    <w:rsid w:val="47CC43E5"/>
    <w:rsid w:val="48A615D1"/>
    <w:rsid w:val="49E06BA9"/>
    <w:rsid w:val="4AF063BB"/>
    <w:rsid w:val="4B03481E"/>
    <w:rsid w:val="4B1F4A36"/>
    <w:rsid w:val="4B26478F"/>
    <w:rsid w:val="4C1C482A"/>
    <w:rsid w:val="4CCE58DF"/>
    <w:rsid w:val="4D833BDD"/>
    <w:rsid w:val="4D9133D7"/>
    <w:rsid w:val="4DA259C6"/>
    <w:rsid w:val="4E3432B0"/>
    <w:rsid w:val="4F32192C"/>
    <w:rsid w:val="4F5D1159"/>
    <w:rsid w:val="4F6911F6"/>
    <w:rsid w:val="4F6B5B31"/>
    <w:rsid w:val="4FAF6B6E"/>
    <w:rsid w:val="4FC00B3B"/>
    <w:rsid w:val="505D60F8"/>
    <w:rsid w:val="509E51F9"/>
    <w:rsid w:val="50DC5240"/>
    <w:rsid w:val="513A38F8"/>
    <w:rsid w:val="52F62B34"/>
    <w:rsid w:val="53785995"/>
    <w:rsid w:val="541344B2"/>
    <w:rsid w:val="555F2D5C"/>
    <w:rsid w:val="55707D6E"/>
    <w:rsid w:val="56570DDF"/>
    <w:rsid w:val="56661008"/>
    <w:rsid w:val="567224AC"/>
    <w:rsid w:val="56D415F4"/>
    <w:rsid w:val="57006206"/>
    <w:rsid w:val="572B6F10"/>
    <w:rsid w:val="58220522"/>
    <w:rsid w:val="59463280"/>
    <w:rsid w:val="598F4BEC"/>
    <w:rsid w:val="599D4276"/>
    <w:rsid w:val="59F41719"/>
    <w:rsid w:val="5A546117"/>
    <w:rsid w:val="5A914854"/>
    <w:rsid w:val="5BAC7B59"/>
    <w:rsid w:val="5CC919BB"/>
    <w:rsid w:val="5CED0D30"/>
    <w:rsid w:val="5D53372E"/>
    <w:rsid w:val="5F0C6BCE"/>
    <w:rsid w:val="60C36051"/>
    <w:rsid w:val="61084ACE"/>
    <w:rsid w:val="610C0BFA"/>
    <w:rsid w:val="61223799"/>
    <w:rsid w:val="61B16FCC"/>
    <w:rsid w:val="624124FD"/>
    <w:rsid w:val="62B54036"/>
    <w:rsid w:val="63CB5BC3"/>
    <w:rsid w:val="642B07CD"/>
    <w:rsid w:val="64E50EAD"/>
    <w:rsid w:val="65984F3F"/>
    <w:rsid w:val="659D6455"/>
    <w:rsid w:val="659E3CB8"/>
    <w:rsid w:val="65D64587"/>
    <w:rsid w:val="65F73C65"/>
    <w:rsid w:val="66175F6C"/>
    <w:rsid w:val="668F2C57"/>
    <w:rsid w:val="6694541D"/>
    <w:rsid w:val="66A10B7C"/>
    <w:rsid w:val="66A13D5F"/>
    <w:rsid w:val="66D400FB"/>
    <w:rsid w:val="67655F5B"/>
    <w:rsid w:val="676F688E"/>
    <w:rsid w:val="68F93924"/>
    <w:rsid w:val="69514322"/>
    <w:rsid w:val="69652E42"/>
    <w:rsid w:val="69797C2C"/>
    <w:rsid w:val="6A2D32EF"/>
    <w:rsid w:val="6A667D8E"/>
    <w:rsid w:val="6B095FA5"/>
    <w:rsid w:val="6B5758E6"/>
    <w:rsid w:val="6C2402AE"/>
    <w:rsid w:val="6C272137"/>
    <w:rsid w:val="6C942EBD"/>
    <w:rsid w:val="6CA14A31"/>
    <w:rsid w:val="6CA73C88"/>
    <w:rsid w:val="6CA87341"/>
    <w:rsid w:val="6CD616AD"/>
    <w:rsid w:val="6D1B16C6"/>
    <w:rsid w:val="6D624BE1"/>
    <w:rsid w:val="6D9073F1"/>
    <w:rsid w:val="6E6A6492"/>
    <w:rsid w:val="6E7865D1"/>
    <w:rsid w:val="6F3B2CE7"/>
    <w:rsid w:val="6F424DC6"/>
    <w:rsid w:val="70772371"/>
    <w:rsid w:val="708F0DF2"/>
    <w:rsid w:val="70B268B6"/>
    <w:rsid w:val="70B646BA"/>
    <w:rsid w:val="70F424CE"/>
    <w:rsid w:val="71A04715"/>
    <w:rsid w:val="71CA7258"/>
    <w:rsid w:val="71D52274"/>
    <w:rsid w:val="71DA4E05"/>
    <w:rsid w:val="71E47FB5"/>
    <w:rsid w:val="72BF5DEB"/>
    <w:rsid w:val="735F52EF"/>
    <w:rsid w:val="738D7669"/>
    <w:rsid w:val="73C86FC2"/>
    <w:rsid w:val="750B18BC"/>
    <w:rsid w:val="75133F36"/>
    <w:rsid w:val="75605A52"/>
    <w:rsid w:val="759A5A96"/>
    <w:rsid w:val="761E6675"/>
    <w:rsid w:val="76347E8A"/>
    <w:rsid w:val="76461F12"/>
    <w:rsid w:val="765014FD"/>
    <w:rsid w:val="7696035D"/>
    <w:rsid w:val="779C2984"/>
    <w:rsid w:val="77AD4F77"/>
    <w:rsid w:val="78104F0E"/>
    <w:rsid w:val="7885108A"/>
    <w:rsid w:val="79B652AC"/>
    <w:rsid w:val="7B111AED"/>
    <w:rsid w:val="7B2B25E4"/>
    <w:rsid w:val="7B466F0E"/>
    <w:rsid w:val="7B50168C"/>
    <w:rsid w:val="7B855912"/>
    <w:rsid w:val="7BFD589C"/>
    <w:rsid w:val="7C2A491D"/>
    <w:rsid w:val="7C883FC8"/>
    <w:rsid w:val="7CEB4CF5"/>
    <w:rsid w:val="7D093ADB"/>
    <w:rsid w:val="7F2D1942"/>
    <w:rsid w:val="7F456A38"/>
    <w:rsid w:val="7F4C684A"/>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rFonts w:eastAsiaTheme="minorEastAsia"/>
      <w:b/>
      <w:bCs/>
      <w:kern w:val="44"/>
      <w:sz w:val="30"/>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1"/>
    <w:basedOn w:val="64"/>
    <w:semiHidden/>
    <w:qFormat/>
    <w:uiPriority w:val="0"/>
    <w:pPr>
      <w:spacing w:after="0"/>
    </w:pPr>
    <w:rPr>
      <w:rFonts w:ascii="Calibri" w:hAnsi="Calibri" w:cs="Calibri"/>
    </w:rPr>
  </w:style>
  <w:style w:type="character" w:customStyle="1" w:styleId="278">
    <w:name w:val="NO Char"/>
    <w:basedOn w:val="56"/>
    <w:qFormat/>
    <w:uiPriority w:val="0"/>
    <w:rPr>
      <w:rFonts w:hint="default" w:ascii="Times New Roman" w:hAnsi="Times New Roman" w:eastAsia="Times New Roman" w:cs="Times New Roman"/>
    </w:rPr>
  </w:style>
  <w:style w:type="paragraph" w:customStyle="1" w:styleId="279">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280">
    <w:name w:val="List Paragraph"/>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8F349-372F-49F5-AAD9-3306C9242061}">
  <ds:schemaRefs/>
</ds:datastoreItem>
</file>

<file path=docProps/app.xml><?xml version="1.0" encoding="utf-8"?>
<Properties xmlns="http://schemas.openxmlformats.org/officeDocument/2006/extended-properties" xmlns:vt="http://schemas.openxmlformats.org/officeDocument/2006/docPropsVTypes">
  <Template>Normal</Template>
  <Pages>1</Pages>
  <Words>2470</Words>
  <Characters>14084</Characters>
  <Lines>117</Lines>
  <Paragraphs>33</Paragraphs>
  <TotalTime>4</TotalTime>
  <ScaleCrop>false</ScaleCrop>
  <LinksUpToDate>false</LinksUpToDate>
  <CharactersWithSpaces>16521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2018-06-21T07:24:43Z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